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4F9" w:rsidRDefault="004714F9" w:rsidP="004714F9">
      <w:pPr>
        <w:pStyle w:val="1"/>
        <w:numPr>
          <w:ilvl w:val="2"/>
          <w:numId w:val="1"/>
        </w:numPr>
        <w:tabs>
          <w:tab w:val="left" w:pos="1462"/>
        </w:tabs>
      </w:pPr>
      <w:bookmarkStart w:id="0" w:name="_TOC_250004"/>
      <w:r>
        <w:t>Архитектурно-строительный</w:t>
      </w:r>
      <w:r>
        <w:rPr>
          <w:spacing w:val="-16"/>
        </w:rPr>
        <w:t xml:space="preserve"> </w:t>
      </w:r>
      <w:bookmarkEnd w:id="0"/>
      <w:r>
        <w:t>раздел</w:t>
      </w:r>
    </w:p>
    <w:p w:rsidR="004714F9" w:rsidRDefault="004714F9" w:rsidP="004714F9">
      <w:pPr>
        <w:pStyle w:val="a3"/>
        <w:spacing w:before="2"/>
        <w:rPr>
          <w:b/>
        </w:rPr>
      </w:pPr>
    </w:p>
    <w:p w:rsidR="004714F9" w:rsidRDefault="004714F9" w:rsidP="004714F9">
      <w:pPr>
        <w:pStyle w:val="a5"/>
        <w:numPr>
          <w:ilvl w:val="1"/>
          <w:numId w:val="2"/>
        </w:numPr>
        <w:tabs>
          <w:tab w:val="left" w:pos="1673"/>
        </w:tabs>
        <w:rPr>
          <w:sz w:val="28"/>
        </w:rPr>
      </w:pPr>
      <w:r>
        <w:rPr>
          <w:sz w:val="28"/>
        </w:rPr>
        <w:t>Общая характеристика</w:t>
      </w:r>
      <w:r>
        <w:rPr>
          <w:spacing w:val="-16"/>
          <w:sz w:val="28"/>
        </w:rPr>
        <w:t xml:space="preserve"> </w:t>
      </w:r>
      <w:r>
        <w:rPr>
          <w:sz w:val="28"/>
        </w:rPr>
        <w:t>территории</w:t>
      </w:r>
    </w:p>
    <w:p w:rsidR="004714F9" w:rsidRDefault="004714F9" w:rsidP="004714F9">
      <w:pPr>
        <w:pStyle w:val="a3"/>
        <w:spacing w:before="6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1187450</wp:posOffset>
            </wp:positionH>
            <wp:positionV relativeFrom="paragraph">
              <wp:posOffset>203835</wp:posOffset>
            </wp:positionV>
            <wp:extent cx="5963285" cy="3923030"/>
            <wp:effectExtent l="0" t="0" r="0" b="1270"/>
            <wp:wrapTopAndBottom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285" cy="3923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4F9" w:rsidRDefault="004714F9" w:rsidP="004714F9">
      <w:pPr>
        <w:pStyle w:val="a3"/>
        <w:spacing w:before="236"/>
        <w:ind w:left="312"/>
        <w:jc w:val="center"/>
      </w:pPr>
      <w:r>
        <w:t>Рисунок 20. Ситуационная схема с радиусом обхвата блока №1</w:t>
      </w:r>
    </w:p>
    <w:p w:rsidR="004714F9" w:rsidRDefault="004714F9" w:rsidP="004714F9">
      <w:pPr>
        <w:pStyle w:val="a3"/>
        <w:spacing w:before="2"/>
      </w:pPr>
    </w:p>
    <w:p w:rsidR="004714F9" w:rsidRDefault="004714F9" w:rsidP="004714F9">
      <w:pPr>
        <w:pStyle w:val="a3"/>
        <w:ind w:left="542" w:right="229" w:firstLine="707"/>
        <w:jc w:val="both"/>
      </w:pPr>
      <w:r>
        <w:t>Один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проектируемых</w:t>
      </w:r>
      <w:r>
        <w:rPr>
          <w:spacing w:val="-7"/>
        </w:rPr>
        <w:t xml:space="preserve"> </w:t>
      </w:r>
      <w:r>
        <w:t>участок</w:t>
      </w:r>
      <w:r>
        <w:rPr>
          <w:spacing w:val="-7"/>
        </w:rPr>
        <w:t xml:space="preserve"> </w:t>
      </w:r>
      <w:r>
        <w:t>находится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центральной</w:t>
      </w:r>
      <w:r>
        <w:rPr>
          <w:spacing w:val="-7"/>
        </w:rPr>
        <w:t xml:space="preserve"> </w:t>
      </w:r>
      <w:r>
        <w:t>части</w:t>
      </w:r>
      <w:r>
        <w:rPr>
          <w:spacing w:val="-7"/>
        </w:rPr>
        <w:t xml:space="preserve"> </w:t>
      </w:r>
      <w:proofErr w:type="spellStart"/>
      <w:r>
        <w:t>г.Алматы</w:t>
      </w:r>
      <w:proofErr w:type="spellEnd"/>
      <w:r>
        <w:t xml:space="preserve"> по ул. С. Сейфуллина между ул. Казбек Би и ул. Толе</w:t>
      </w:r>
      <w:r>
        <w:rPr>
          <w:spacing w:val="-6"/>
        </w:rPr>
        <w:t xml:space="preserve"> </w:t>
      </w:r>
      <w:r>
        <w:t>Би.</w:t>
      </w:r>
    </w:p>
    <w:p w:rsidR="004714F9" w:rsidRDefault="004714F9" w:rsidP="004714F9">
      <w:pPr>
        <w:pStyle w:val="a3"/>
        <w:ind w:left="542" w:right="231" w:firstLine="707"/>
        <w:jc w:val="both"/>
      </w:pPr>
      <w:r>
        <w:t>Заезд   на   участок    многоэтажного    паркинга    №    1    со    стороны ул. С.</w:t>
      </w:r>
      <w:r>
        <w:rPr>
          <w:spacing w:val="-5"/>
        </w:rPr>
        <w:t xml:space="preserve"> </w:t>
      </w:r>
      <w:r>
        <w:t>Сейфуллина.</w:t>
      </w:r>
    </w:p>
    <w:p w:rsidR="004714F9" w:rsidRDefault="004714F9" w:rsidP="004714F9">
      <w:pPr>
        <w:pStyle w:val="a3"/>
        <w:ind w:left="542" w:right="225" w:firstLine="707"/>
        <w:jc w:val="both"/>
      </w:pPr>
      <w:r>
        <w:t>В</w:t>
      </w:r>
      <w:r>
        <w:rPr>
          <w:spacing w:val="-6"/>
        </w:rPr>
        <w:t xml:space="preserve"> </w:t>
      </w:r>
      <w:r>
        <w:t>данный</w:t>
      </w:r>
      <w:r>
        <w:rPr>
          <w:spacing w:val="-6"/>
        </w:rPr>
        <w:t xml:space="preserve"> </w:t>
      </w:r>
      <w:r>
        <w:t>момент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радиусе</w:t>
      </w:r>
      <w:r>
        <w:rPr>
          <w:spacing w:val="-6"/>
        </w:rPr>
        <w:t xml:space="preserve"> </w:t>
      </w:r>
      <w:r>
        <w:t>окружения</w:t>
      </w:r>
      <w:r>
        <w:rPr>
          <w:spacing w:val="-7"/>
        </w:rPr>
        <w:t xml:space="preserve"> </w:t>
      </w:r>
      <w:r>
        <w:t>блока</w:t>
      </w:r>
      <w:r>
        <w:rPr>
          <w:spacing w:val="-9"/>
        </w:rPr>
        <w:t xml:space="preserve"> </w:t>
      </w:r>
      <w:r>
        <w:t>№1</w:t>
      </w:r>
      <w:r>
        <w:rPr>
          <w:spacing w:val="-7"/>
        </w:rPr>
        <w:t xml:space="preserve"> </w:t>
      </w:r>
      <w:r>
        <w:t>находиться</w:t>
      </w:r>
      <w:r>
        <w:rPr>
          <w:spacing w:val="-6"/>
        </w:rPr>
        <w:t xml:space="preserve"> </w:t>
      </w:r>
      <w:r>
        <w:t>такие</w:t>
      </w:r>
      <w:r>
        <w:rPr>
          <w:spacing w:val="-5"/>
        </w:rPr>
        <w:t xml:space="preserve"> </w:t>
      </w:r>
      <w:r>
        <w:t>здания как, гадская больница скорой и неотложной помощи, центральный дом бухгалтер, медицинский университет, роддом №1, бизнес центры, колледж, жилые дома и</w:t>
      </w:r>
      <w:r>
        <w:rPr>
          <w:spacing w:val="-1"/>
        </w:rPr>
        <w:t xml:space="preserve"> </w:t>
      </w:r>
      <w:r>
        <w:t>т.д.</w:t>
      </w:r>
    </w:p>
    <w:p w:rsidR="004714F9" w:rsidRDefault="004714F9" w:rsidP="004714F9">
      <w:pPr>
        <w:widowControl/>
        <w:autoSpaceDE/>
        <w:autoSpaceDN/>
        <w:sectPr w:rsidR="004714F9">
          <w:pgSz w:w="11910" w:h="16840"/>
          <w:pgMar w:top="1040" w:right="340" w:bottom="1240" w:left="1160" w:header="0" w:footer="1051" w:gutter="0"/>
          <w:cols w:space="720"/>
        </w:sectPr>
      </w:pPr>
    </w:p>
    <w:p w:rsidR="004714F9" w:rsidRDefault="004714F9" w:rsidP="004714F9">
      <w:pPr>
        <w:pStyle w:val="a3"/>
        <w:ind w:left="82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16600" cy="38290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4F9" w:rsidRDefault="004714F9" w:rsidP="004714F9">
      <w:pPr>
        <w:pStyle w:val="a3"/>
        <w:spacing w:before="1"/>
        <w:rPr>
          <w:sz w:val="15"/>
        </w:rPr>
      </w:pPr>
    </w:p>
    <w:p w:rsidR="004714F9" w:rsidRDefault="004714F9" w:rsidP="004714F9">
      <w:pPr>
        <w:pStyle w:val="a3"/>
        <w:spacing w:before="89"/>
        <w:ind w:left="313"/>
        <w:jc w:val="center"/>
      </w:pPr>
      <w:r>
        <w:t>Рисунок 21. Генеральный план</w:t>
      </w:r>
    </w:p>
    <w:p w:rsidR="004714F9" w:rsidRDefault="004714F9" w:rsidP="004714F9">
      <w:pPr>
        <w:pStyle w:val="a3"/>
        <w:spacing w:before="10"/>
        <w:rPr>
          <w:sz w:val="27"/>
        </w:rPr>
      </w:pPr>
    </w:p>
    <w:p w:rsidR="004714F9" w:rsidRDefault="004714F9" w:rsidP="004714F9">
      <w:pPr>
        <w:pStyle w:val="a3"/>
        <w:ind w:left="1250"/>
      </w:pPr>
      <w:r>
        <w:t>Технико-экономические показатели генерального плана участка</w:t>
      </w:r>
    </w:p>
    <w:p w:rsidR="004714F9" w:rsidRDefault="004714F9" w:rsidP="004714F9">
      <w:pPr>
        <w:pStyle w:val="a3"/>
        <w:spacing w:before="2"/>
      </w:pPr>
    </w:p>
    <w:p w:rsidR="004714F9" w:rsidRDefault="004714F9" w:rsidP="004714F9">
      <w:pPr>
        <w:pStyle w:val="a5"/>
        <w:numPr>
          <w:ilvl w:val="0"/>
          <w:numId w:val="3"/>
        </w:numPr>
        <w:tabs>
          <w:tab w:val="left" w:pos="1536"/>
        </w:tabs>
        <w:rPr>
          <w:sz w:val="28"/>
        </w:rPr>
      </w:pPr>
      <w:r>
        <w:rPr>
          <w:sz w:val="28"/>
        </w:rPr>
        <w:t>Площадь участка 1500 м</w:t>
      </w:r>
      <w:r>
        <w:rPr>
          <w:sz w:val="28"/>
          <w:vertAlign w:val="superscript"/>
        </w:rPr>
        <w:t>2</w:t>
      </w:r>
    </w:p>
    <w:p w:rsidR="004714F9" w:rsidRDefault="004714F9" w:rsidP="004714F9">
      <w:pPr>
        <w:pStyle w:val="a5"/>
        <w:numPr>
          <w:ilvl w:val="0"/>
          <w:numId w:val="3"/>
        </w:numPr>
        <w:tabs>
          <w:tab w:val="left" w:pos="1536"/>
        </w:tabs>
        <w:spacing w:before="50"/>
        <w:rPr>
          <w:sz w:val="28"/>
        </w:rPr>
      </w:pPr>
      <w:r>
        <w:rPr>
          <w:sz w:val="28"/>
        </w:rPr>
        <w:t>Площадь застройки – 930</w:t>
      </w:r>
      <w:r>
        <w:rPr>
          <w:spacing w:val="-1"/>
          <w:sz w:val="28"/>
        </w:rPr>
        <w:t xml:space="preserve"> </w:t>
      </w:r>
      <w:r>
        <w:rPr>
          <w:sz w:val="28"/>
        </w:rPr>
        <w:t>м</w:t>
      </w:r>
      <w:r>
        <w:rPr>
          <w:sz w:val="28"/>
          <w:vertAlign w:val="superscript"/>
        </w:rPr>
        <w:t>2</w:t>
      </w:r>
    </w:p>
    <w:p w:rsidR="004714F9" w:rsidRDefault="004714F9" w:rsidP="004714F9">
      <w:pPr>
        <w:pStyle w:val="a3"/>
        <w:rPr>
          <w:sz w:val="32"/>
        </w:rPr>
      </w:pPr>
    </w:p>
    <w:p w:rsidR="004714F9" w:rsidRDefault="004714F9" w:rsidP="004714F9">
      <w:pPr>
        <w:pStyle w:val="a5"/>
        <w:numPr>
          <w:ilvl w:val="1"/>
          <w:numId w:val="2"/>
        </w:numPr>
        <w:tabs>
          <w:tab w:val="left" w:pos="1673"/>
        </w:tabs>
        <w:spacing w:before="201"/>
        <w:rPr>
          <w:sz w:val="28"/>
        </w:rPr>
      </w:pPr>
      <w:r>
        <w:rPr>
          <w:sz w:val="28"/>
        </w:rPr>
        <w:t>Объёмно-планировочные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</w:t>
      </w:r>
    </w:p>
    <w:p w:rsidR="004714F9" w:rsidRDefault="004714F9" w:rsidP="004714F9">
      <w:pPr>
        <w:pStyle w:val="a3"/>
        <w:spacing w:before="10"/>
        <w:rPr>
          <w:sz w:val="27"/>
        </w:rPr>
      </w:pPr>
    </w:p>
    <w:p w:rsidR="004714F9" w:rsidRDefault="004714F9" w:rsidP="004714F9">
      <w:pPr>
        <w:pStyle w:val="a3"/>
        <w:spacing w:before="1"/>
        <w:ind w:left="542" w:right="228" w:firstLine="707"/>
        <w:jc w:val="both"/>
      </w:pPr>
      <w:r>
        <w:t>Исходя из логической предпосылки, в центральной части города необходимо предусматривать стояки временного назначения и многоэтажные паркинги достоинства, которых: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14"/>
        </w:tabs>
        <w:spacing w:before="1" w:line="322" w:lineRule="exact"/>
        <w:ind w:left="1413"/>
        <w:rPr>
          <w:sz w:val="28"/>
        </w:rPr>
      </w:pPr>
      <w:proofErr w:type="gramStart"/>
      <w:r>
        <w:rPr>
          <w:sz w:val="28"/>
        </w:rPr>
        <w:t>площадь</w:t>
      </w:r>
      <w:proofErr w:type="gramEnd"/>
      <w:r>
        <w:rPr>
          <w:sz w:val="28"/>
        </w:rPr>
        <w:t xml:space="preserve"> небольших</w:t>
      </w:r>
      <w:r>
        <w:rPr>
          <w:spacing w:val="-4"/>
          <w:sz w:val="28"/>
        </w:rPr>
        <w:t xml:space="preserve"> </w:t>
      </w:r>
      <w:r>
        <w:rPr>
          <w:sz w:val="28"/>
        </w:rPr>
        <w:t>размеров;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14"/>
        </w:tabs>
        <w:spacing w:line="322" w:lineRule="exact"/>
        <w:ind w:left="1413"/>
        <w:rPr>
          <w:sz w:val="28"/>
        </w:rPr>
      </w:pPr>
      <w:proofErr w:type="gramStart"/>
      <w:r>
        <w:rPr>
          <w:sz w:val="28"/>
        </w:rPr>
        <w:t>коммуникации</w:t>
      </w:r>
      <w:proofErr w:type="gramEnd"/>
      <w:r>
        <w:rPr>
          <w:sz w:val="28"/>
        </w:rPr>
        <w:t>;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14"/>
        </w:tabs>
        <w:spacing w:line="322" w:lineRule="exact"/>
        <w:ind w:left="1413"/>
        <w:rPr>
          <w:sz w:val="28"/>
        </w:rPr>
      </w:pPr>
      <w:proofErr w:type="gramStart"/>
      <w:r>
        <w:rPr>
          <w:sz w:val="28"/>
        </w:rPr>
        <w:t>конструкции</w:t>
      </w:r>
      <w:proofErr w:type="gramEnd"/>
      <w:r>
        <w:rPr>
          <w:sz w:val="28"/>
        </w:rPr>
        <w:t xml:space="preserve"> сборного типа;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04"/>
        </w:tabs>
        <w:ind w:left="1403"/>
        <w:rPr>
          <w:sz w:val="28"/>
        </w:rPr>
      </w:pPr>
      <w:proofErr w:type="gramStart"/>
      <w:r>
        <w:rPr>
          <w:sz w:val="28"/>
        </w:rPr>
        <w:t>высокая</w:t>
      </w:r>
      <w:proofErr w:type="gramEnd"/>
      <w:r>
        <w:rPr>
          <w:sz w:val="28"/>
        </w:rPr>
        <w:t xml:space="preserve"> надежность хранения от угона и</w:t>
      </w:r>
      <w:r>
        <w:rPr>
          <w:spacing w:val="-9"/>
          <w:sz w:val="28"/>
        </w:rPr>
        <w:t xml:space="preserve"> </w:t>
      </w:r>
      <w:r>
        <w:rPr>
          <w:sz w:val="28"/>
        </w:rPr>
        <w:t>порчи;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14"/>
        </w:tabs>
        <w:spacing w:line="322" w:lineRule="exact"/>
        <w:ind w:left="1413"/>
        <w:rPr>
          <w:sz w:val="28"/>
        </w:rPr>
      </w:pPr>
      <w:proofErr w:type="gramStart"/>
      <w:r>
        <w:rPr>
          <w:sz w:val="28"/>
        </w:rPr>
        <w:t>оперативная</w:t>
      </w:r>
      <w:proofErr w:type="gram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маневреность</w:t>
      </w:r>
      <w:proofErr w:type="spellEnd"/>
      <w:r>
        <w:rPr>
          <w:sz w:val="28"/>
        </w:rPr>
        <w:t>;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04"/>
        </w:tabs>
        <w:ind w:left="1403"/>
        <w:rPr>
          <w:sz w:val="28"/>
        </w:rPr>
      </w:pPr>
      <w:r>
        <w:rPr>
          <w:sz w:val="28"/>
        </w:rPr>
        <w:t>Свободная территория от припаркованных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машин;</w:t>
      </w:r>
    </w:p>
    <w:p w:rsidR="004714F9" w:rsidRDefault="004714F9" w:rsidP="004714F9">
      <w:pPr>
        <w:pStyle w:val="a3"/>
        <w:spacing w:before="2"/>
        <w:ind w:left="542" w:firstLine="707"/>
      </w:pPr>
      <w:r>
        <w:t>Недостатками многоэтажных паркингов можно отнести ограничение функциональных наборов услуг (в обычном случай - это хранение).</w:t>
      </w:r>
    </w:p>
    <w:p w:rsidR="004714F9" w:rsidRDefault="004714F9" w:rsidP="004714F9">
      <w:pPr>
        <w:pStyle w:val="a3"/>
        <w:ind w:left="542" w:right="222" w:firstLine="1195"/>
        <w:jc w:val="both"/>
      </w:pPr>
      <w:r>
        <w:t xml:space="preserve">При проектировании </w:t>
      </w:r>
      <w:proofErr w:type="spellStart"/>
      <w:r>
        <w:t>текницеских</w:t>
      </w:r>
      <w:proofErr w:type="spellEnd"/>
      <w:r>
        <w:t xml:space="preserve"> помещений обслуживания для паркингов необходимо знать, что въезды и входы в помещение технического обслуживания (ТО), технического ремонта (ТР), должны быть </w:t>
      </w:r>
      <w:proofErr w:type="spellStart"/>
      <w:r>
        <w:t>изолированны</w:t>
      </w:r>
      <w:proofErr w:type="spellEnd"/>
      <w:r>
        <w:t xml:space="preserve"> от</w:t>
      </w:r>
    </w:p>
    <w:p w:rsidR="004714F9" w:rsidRDefault="004714F9" w:rsidP="004714F9">
      <w:pPr>
        <w:widowControl/>
        <w:autoSpaceDE/>
        <w:autoSpaceDN/>
        <w:sectPr w:rsidR="004714F9">
          <w:pgSz w:w="11910" w:h="16840"/>
          <w:pgMar w:top="1120" w:right="340" w:bottom="1240" w:left="1160" w:header="0" w:footer="1051" w:gutter="0"/>
          <w:cols w:space="720"/>
        </w:sectPr>
      </w:pPr>
    </w:p>
    <w:p w:rsidR="004714F9" w:rsidRDefault="004714F9" w:rsidP="004714F9">
      <w:pPr>
        <w:pStyle w:val="a3"/>
        <w:spacing w:before="74"/>
        <w:ind w:left="542" w:right="223"/>
        <w:jc w:val="both"/>
      </w:pPr>
      <w:proofErr w:type="gramStart"/>
      <w:r>
        <w:lastRenderedPageBreak/>
        <w:t>мест</w:t>
      </w:r>
      <w:proofErr w:type="gramEnd"/>
      <w:r>
        <w:t xml:space="preserve"> хранения автомобилей, допускается сообщение между </w:t>
      </w:r>
      <w:proofErr w:type="spellStart"/>
      <w:r>
        <w:t>помешениями</w:t>
      </w:r>
      <w:proofErr w:type="spellEnd"/>
      <w:r>
        <w:t xml:space="preserve"> ТО, ТР и </w:t>
      </w:r>
      <w:proofErr w:type="spellStart"/>
      <w:r>
        <w:t>помешением</w:t>
      </w:r>
      <w:proofErr w:type="spellEnd"/>
      <w:r>
        <w:t xml:space="preserve"> для мойки автомобилей через проемы ворот, дверями с пределом огнестойкости не менее 0,7 ч. Эти и другие сведения по проектированию даны в СНиП РК 03.03.2014.</w:t>
      </w:r>
    </w:p>
    <w:p w:rsidR="004714F9" w:rsidRDefault="004714F9" w:rsidP="004714F9">
      <w:pPr>
        <w:pStyle w:val="a3"/>
        <w:rPr>
          <w:sz w:val="30"/>
        </w:rPr>
      </w:pPr>
    </w:p>
    <w:p w:rsidR="004714F9" w:rsidRDefault="004714F9" w:rsidP="004714F9">
      <w:pPr>
        <w:pStyle w:val="a3"/>
        <w:spacing w:before="1"/>
        <w:rPr>
          <w:sz w:val="26"/>
        </w:rPr>
      </w:pPr>
    </w:p>
    <w:p w:rsidR="004714F9" w:rsidRDefault="004714F9" w:rsidP="004714F9">
      <w:pPr>
        <w:pStyle w:val="a5"/>
        <w:numPr>
          <w:ilvl w:val="1"/>
          <w:numId w:val="2"/>
        </w:numPr>
        <w:tabs>
          <w:tab w:val="left" w:pos="1673"/>
        </w:tabs>
        <w:rPr>
          <w:sz w:val="28"/>
        </w:rPr>
      </w:pPr>
      <w:r>
        <w:rPr>
          <w:sz w:val="28"/>
        </w:rPr>
        <w:t>Основные типы многоэтажных</w:t>
      </w:r>
      <w:r>
        <w:rPr>
          <w:spacing w:val="-3"/>
          <w:sz w:val="28"/>
        </w:rPr>
        <w:t xml:space="preserve"> </w:t>
      </w:r>
      <w:r>
        <w:rPr>
          <w:sz w:val="28"/>
        </w:rPr>
        <w:t>паркингов</w:t>
      </w:r>
    </w:p>
    <w:p w:rsidR="004714F9" w:rsidRDefault="004714F9" w:rsidP="004714F9">
      <w:pPr>
        <w:pStyle w:val="a3"/>
        <w:spacing w:before="1"/>
      </w:pPr>
    </w:p>
    <w:p w:rsidR="004714F9" w:rsidRDefault="004714F9" w:rsidP="004714F9">
      <w:pPr>
        <w:pStyle w:val="a3"/>
        <w:spacing w:before="1"/>
        <w:ind w:left="542" w:right="291" w:firstLine="707"/>
      </w:pPr>
      <w:r>
        <w:t>Существуют различные типы паркингов, которые зависят от поверхности земли, типа хранения, количеству этажей и т.д. Различают их по отношению разделения главных функциональных зон к отметкам поверхности земли различают: подземные, надземные, полуподземные, а также стоянки комбинированного типа. Полуподземными считаются паркинги, пол которых заглублен менее чем на 2 м ниже уровня грунта. Различаются паркинги по высотности на одно этажные и многоэтажные. Паркинги от 2 до 5 этажей считаются сооружениями средней этажности; свыше 5 этажей-этажей считаются высотной этажности.</w:t>
      </w:r>
    </w:p>
    <w:p w:rsidR="004714F9" w:rsidRDefault="004714F9" w:rsidP="004714F9">
      <w:pPr>
        <w:pStyle w:val="a3"/>
        <w:ind w:left="542" w:right="1364" w:firstLine="707"/>
      </w:pPr>
      <w:r>
        <w:t>Подразделяются паркинги в зависимости от перемежения между этажами: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14"/>
        </w:tabs>
        <w:ind w:right="357" w:firstLine="707"/>
        <w:rPr>
          <w:sz w:val="28"/>
        </w:rPr>
      </w:pP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рамповые (немеханизированные), движение автомобилей по рампам, 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этажами.</w:t>
      </w:r>
    </w:p>
    <w:p w:rsidR="004714F9" w:rsidRDefault="004714F9" w:rsidP="004714F9">
      <w:pPr>
        <w:pStyle w:val="a3"/>
        <w:spacing w:before="10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1602740</wp:posOffset>
            </wp:positionH>
            <wp:positionV relativeFrom="paragraph">
              <wp:posOffset>199390</wp:posOffset>
            </wp:positionV>
            <wp:extent cx="5033645" cy="3352800"/>
            <wp:effectExtent l="0" t="0" r="0" b="0"/>
            <wp:wrapTopAndBottom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645" cy="335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4F9" w:rsidRDefault="004714F9" w:rsidP="004714F9">
      <w:pPr>
        <w:pStyle w:val="a3"/>
        <w:spacing w:before="4"/>
        <w:rPr>
          <w:sz w:val="29"/>
        </w:rPr>
      </w:pPr>
    </w:p>
    <w:p w:rsidR="004714F9" w:rsidRDefault="004714F9" w:rsidP="004714F9">
      <w:pPr>
        <w:pStyle w:val="a3"/>
        <w:ind w:left="3739" w:right="812" w:hanging="2598"/>
      </w:pPr>
      <w:r>
        <w:t>Рисунок 22. Многоэтажный паркинг на 200 мест с наружной рампой и эксплуатационной кровлей</w:t>
      </w:r>
    </w:p>
    <w:p w:rsidR="004714F9" w:rsidRDefault="004714F9" w:rsidP="004714F9">
      <w:pPr>
        <w:widowControl/>
        <w:autoSpaceDE/>
        <w:autoSpaceDN/>
        <w:sectPr w:rsidR="004714F9">
          <w:pgSz w:w="11910" w:h="16840"/>
          <w:pgMar w:top="1040" w:right="340" w:bottom="1240" w:left="1160" w:header="0" w:footer="1051" w:gutter="0"/>
          <w:cols w:space="720"/>
        </w:sectPr>
      </w:pPr>
    </w:p>
    <w:p w:rsidR="004714F9" w:rsidRDefault="004714F9" w:rsidP="004714F9">
      <w:pPr>
        <w:pStyle w:val="a3"/>
        <w:ind w:left="128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181600" cy="3886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4F9" w:rsidRDefault="004714F9" w:rsidP="004714F9">
      <w:pPr>
        <w:pStyle w:val="a3"/>
        <w:spacing w:before="2"/>
        <w:rPr>
          <w:sz w:val="19"/>
        </w:rPr>
      </w:pPr>
    </w:p>
    <w:p w:rsidR="004714F9" w:rsidRDefault="004714F9" w:rsidP="004714F9">
      <w:pPr>
        <w:pStyle w:val="a3"/>
        <w:spacing w:before="89"/>
        <w:ind w:left="312"/>
        <w:jc w:val="center"/>
      </w:pPr>
      <w:r>
        <w:t>Рисунок 23. Многоэтажный механизированный паркинг на 200 мест</w:t>
      </w:r>
    </w:p>
    <w:p w:rsidR="004714F9" w:rsidRDefault="004714F9" w:rsidP="004714F9">
      <w:pPr>
        <w:pStyle w:val="a3"/>
        <w:spacing w:before="11"/>
        <w:rPr>
          <w:sz w:val="27"/>
        </w:rPr>
      </w:pP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519"/>
        </w:tabs>
        <w:ind w:right="226" w:firstLine="707"/>
        <w:jc w:val="both"/>
        <w:rPr>
          <w:sz w:val="28"/>
        </w:rPr>
      </w:pPr>
      <w:proofErr w:type="gramStart"/>
      <w:r>
        <w:rPr>
          <w:sz w:val="28"/>
        </w:rPr>
        <w:t>автоматизированный</w:t>
      </w:r>
      <w:proofErr w:type="gramEnd"/>
      <w:r>
        <w:rPr>
          <w:sz w:val="28"/>
        </w:rPr>
        <w:t xml:space="preserve"> паркинг, обеспечивавший выдачу и установку автомобиля без запуска его двигателя, с использованием механизмов</w:t>
      </w:r>
      <w:r>
        <w:rPr>
          <w:spacing w:val="-34"/>
          <w:sz w:val="28"/>
        </w:rPr>
        <w:t xml:space="preserve"> </w:t>
      </w:r>
      <w:r>
        <w:rPr>
          <w:sz w:val="28"/>
        </w:rPr>
        <w:t>различных систем и подъемников. (Рисунок</w:t>
      </w:r>
      <w:r>
        <w:rPr>
          <w:spacing w:val="-8"/>
          <w:sz w:val="28"/>
        </w:rPr>
        <w:t xml:space="preserve"> </w:t>
      </w:r>
      <w:r>
        <w:rPr>
          <w:sz w:val="28"/>
        </w:rPr>
        <w:t>24)</w:t>
      </w:r>
    </w:p>
    <w:p w:rsidR="004714F9" w:rsidRDefault="004714F9" w:rsidP="004714F9">
      <w:pPr>
        <w:pStyle w:val="a3"/>
        <w:spacing w:before="6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2682875</wp:posOffset>
            </wp:positionH>
            <wp:positionV relativeFrom="paragraph">
              <wp:posOffset>204470</wp:posOffset>
            </wp:positionV>
            <wp:extent cx="2880360" cy="3230880"/>
            <wp:effectExtent l="0" t="0" r="0" b="7620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323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4F9" w:rsidRDefault="004714F9" w:rsidP="004714F9">
      <w:pPr>
        <w:pStyle w:val="a3"/>
        <w:spacing w:before="10"/>
        <w:rPr>
          <w:sz w:val="31"/>
        </w:rPr>
      </w:pPr>
    </w:p>
    <w:p w:rsidR="004714F9" w:rsidRDefault="004714F9" w:rsidP="004714F9">
      <w:pPr>
        <w:pStyle w:val="a3"/>
        <w:ind w:left="314"/>
        <w:jc w:val="center"/>
      </w:pPr>
      <w:r>
        <w:t>Рисунок 24. Проект автоматизированного паркинга.</w:t>
      </w:r>
    </w:p>
    <w:p w:rsidR="004714F9" w:rsidRDefault="004714F9" w:rsidP="004714F9">
      <w:pPr>
        <w:widowControl/>
        <w:autoSpaceDE/>
        <w:autoSpaceDN/>
        <w:sectPr w:rsidR="004714F9">
          <w:pgSz w:w="11910" w:h="16840"/>
          <w:pgMar w:top="1120" w:right="340" w:bottom="1240" w:left="1160" w:header="0" w:footer="1051" w:gutter="0"/>
          <w:cols w:space="720"/>
        </w:sectPr>
      </w:pPr>
    </w:p>
    <w:p w:rsidR="004714F9" w:rsidRDefault="004714F9" w:rsidP="004714F9">
      <w:pPr>
        <w:pStyle w:val="a3"/>
        <w:ind w:left="219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051300" cy="2711450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30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4F9" w:rsidRDefault="004714F9" w:rsidP="004714F9">
      <w:pPr>
        <w:pStyle w:val="a3"/>
        <w:spacing w:before="2"/>
        <w:rPr>
          <w:sz w:val="7"/>
        </w:rPr>
      </w:pPr>
    </w:p>
    <w:p w:rsidR="004714F9" w:rsidRDefault="004714F9" w:rsidP="004714F9">
      <w:pPr>
        <w:pStyle w:val="a3"/>
        <w:spacing w:before="89"/>
        <w:ind w:left="316"/>
        <w:jc w:val="center"/>
      </w:pPr>
      <w:r>
        <w:t>Рисунок 25. Интерьер автоматизированного паркинга.</w:t>
      </w:r>
    </w:p>
    <w:p w:rsidR="004714F9" w:rsidRDefault="004714F9" w:rsidP="004714F9">
      <w:pPr>
        <w:pStyle w:val="a3"/>
        <w:spacing w:before="1"/>
      </w:pPr>
    </w:p>
    <w:p w:rsidR="004714F9" w:rsidRDefault="004714F9" w:rsidP="004714F9">
      <w:pPr>
        <w:pStyle w:val="a3"/>
        <w:spacing w:before="1"/>
        <w:ind w:left="542" w:right="222" w:firstLine="707"/>
        <w:jc w:val="both"/>
      </w:pPr>
      <w:r>
        <w:t xml:space="preserve">Широко используются автоматизированные паркинги в настоящие время в городах Северной Америки, Европы, Юго-Восточной Азии. Автоматизированные паркинги в последнее годы активно </w:t>
      </w:r>
      <w:proofErr w:type="spellStart"/>
      <w:r>
        <w:t>активно</w:t>
      </w:r>
      <w:proofErr w:type="spellEnd"/>
      <w:r>
        <w:t xml:space="preserve"> возводятся в Российских городах-Москве, Санкт-Петербурге, Новосибирске, Краснодаре и других городах.</w:t>
      </w:r>
    </w:p>
    <w:p w:rsidR="004714F9" w:rsidRDefault="004714F9" w:rsidP="004714F9">
      <w:pPr>
        <w:pStyle w:val="a3"/>
        <w:spacing w:before="5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1870075</wp:posOffset>
            </wp:positionH>
            <wp:positionV relativeFrom="paragraph">
              <wp:posOffset>203835</wp:posOffset>
            </wp:positionV>
            <wp:extent cx="4528820" cy="1592580"/>
            <wp:effectExtent l="0" t="0" r="5080" b="7620"/>
            <wp:wrapTopAndBottom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820" cy="1592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4F9" w:rsidRDefault="004714F9" w:rsidP="004714F9">
      <w:pPr>
        <w:pStyle w:val="a3"/>
        <w:spacing w:before="171"/>
        <w:ind w:left="2099" w:right="1784"/>
        <w:jc w:val="center"/>
      </w:pPr>
      <w:r>
        <w:t>Рисунок 26. Вариант планировки технических этажей: а) – рамповые (механизированные) паркинги;</w:t>
      </w:r>
    </w:p>
    <w:p w:rsidR="004714F9" w:rsidRDefault="004714F9" w:rsidP="004714F9">
      <w:pPr>
        <w:pStyle w:val="a3"/>
        <w:spacing w:line="321" w:lineRule="exact"/>
        <w:ind w:left="315"/>
        <w:jc w:val="center"/>
      </w:pPr>
      <w:proofErr w:type="gramStart"/>
      <w:r>
        <w:t>б</w:t>
      </w:r>
      <w:proofErr w:type="gramEnd"/>
      <w:r>
        <w:t xml:space="preserve">) – </w:t>
      </w:r>
      <w:proofErr w:type="spellStart"/>
      <w:r>
        <w:t>механезированные</w:t>
      </w:r>
      <w:proofErr w:type="spellEnd"/>
      <w:r>
        <w:t xml:space="preserve"> паркинги</w:t>
      </w:r>
    </w:p>
    <w:p w:rsidR="004714F9" w:rsidRDefault="004714F9" w:rsidP="004714F9">
      <w:pPr>
        <w:pStyle w:val="a3"/>
        <w:spacing w:before="207"/>
        <w:ind w:left="542" w:right="223" w:firstLine="707"/>
        <w:jc w:val="both"/>
      </w:pPr>
      <w:r>
        <w:t>Различают их по количеству мест хранения на паркинги малой вместимости</w:t>
      </w:r>
      <w:r>
        <w:rPr>
          <w:spacing w:val="-12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50</w:t>
      </w:r>
      <w:r>
        <w:rPr>
          <w:spacing w:val="-13"/>
        </w:rPr>
        <w:t xml:space="preserve"> </w:t>
      </w:r>
      <w:r>
        <w:t>мест;</w:t>
      </w:r>
      <w:r>
        <w:rPr>
          <w:spacing w:val="-12"/>
        </w:rPr>
        <w:t xml:space="preserve"> </w:t>
      </w:r>
      <w:r>
        <w:t>средней</w:t>
      </w:r>
      <w:r>
        <w:rPr>
          <w:spacing w:val="-12"/>
        </w:rPr>
        <w:t xml:space="preserve"> </w:t>
      </w:r>
      <w:r>
        <w:t>вместимости</w:t>
      </w:r>
      <w:r>
        <w:rPr>
          <w:spacing w:val="-13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50</w:t>
      </w:r>
      <w:r>
        <w:rPr>
          <w:spacing w:val="-12"/>
        </w:rPr>
        <w:t xml:space="preserve"> </w:t>
      </w:r>
      <w:r>
        <w:t>мест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до</w:t>
      </w:r>
      <w:r>
        <w:rPr>
          <w:spacing w:val="-14"/>
        </w:rPr>
        <w:t xml:space="preserve"> </w:t>
      </w:r>
      <w:r>
        <w:t>300</w:t>
      </w:r>
      <w:r>
        <w:rPr>
          <w:spacing w:val="-11"/>
        </w:rPr>
        <w:t xml:space="preserve"> </w:t>
      </w:r>
      <w:r>
        <w:t>мест;</w:t>
      </w:r>
      <w:r>
        <w:rPr>
          <w:spacing w:val="-10"/>
        </w:rPr>
        <w:t xml:space="preserve"> </w:t>
      </w:r>
      <w:r>
        <w:t>большой вместимости более 300</w:t>
      </w:r>
      <w:r>
        <w:rPr>
          <w:spacing w:val="-3"/>
        </w:rPr>
        <w:t xml:space="preserve"> </w:t>
      </w:r>
      <w:r>
        <w:t>мест.</w:t>
      </w:r>
    </w:p>
    <w:p w:rsidR="004714F9" w:rsidRDefault="004714F9" w:rsidP="004714F9">
      <w:pPr>
        <w:pStyle w:val="a3"/>
        <w:spacing w:before="1"/>
        <w:ind w:left="542" w:right="220" w:firstLine="1336"/>
        <w:jc w:val="both"/>
      </w:pPr>
      <w:r>
        <w:t>В зависимости от расстановки автомобилей на этаже могут быть: стоянки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гаражи</w:t>
      </w:r>
      <w:r>
        <w:rPr>
          <w:spacing w:val="-5"/>
        </w:rPr>
        <w:t xml:space="preserve"> </w:t>
      </w:r>
      <w:r>
        <w:t>манежного</w:t>
      </w:r>
      <w:r>
        <w:rPr>
          <w:spacing w:val="-7"/>
        </w:rPr>
        <w:t xml:space="preserve"> </w:t>
      </w:r>
      <w:r>
        <w:t>типа</w:t>
      </w:r>
      <w:r>
        <w:rPr>
          <w:spacing w:val="-7"/>
        </w:rPr>
        <w:t xml:space="preserve"> </w:t>
      </w:r>
      <w:r>
        <w:t>(Рисунок</w:t>
      </w:r>
      <w:r>
        <w:rPr>
          <w:spacing w:val="-7"/>
        </w:rPr>
        <w:t xml:space="preserve"> </w:t>
      </w:r>
      <w:r>
        <w:t>24.</w:t>
      </w:r>
      <w:r>
        <w:rPr>
          <w:spacing w:val="-7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паркинга</w:t>
      </w:r>
      <w:r>
        <w:rPr>
          <w:spacing w:val="-7"/>
        </w:rPr>
        <w:t xml:space="preserve"> </w:t>
      </w:r>
      <w:r>
        <w:t>манежного</w:t>
      </w:r>
      <w:r>
        <w:rPr>
          <w:spacing w:val="-7"/>
        </w:rPr>
        <w:t xml:space="preserve"> </w:t>
      </w:r>
      <w:r>
        <w:t>типа), в котором автомобили размешены в зале едином для автомобилей с выездом от места хранения в общий проезд; боксовые паркинги, с непосредственными выездами из каждого отдельного помещения (бокса) наружу; манежное- боксовые, места хранения в которых могут ограждены сетками или перегородками.</w:t>
      </w:r>
    </w:p>
    <w:p w:rsidR="004714F9" w:rsidRDefault="004714F9" w:rsidP="004714F9">
      <w:pPr>
        <w:widowControl/>
        <w:autoSpaceDE/>
        <w:autoSpaceDN/>
        <w:sectPr w:rsidR="004714F9">
          <w:pgSz w:w="11910" w:h="16840"/>
          <w:pgMar w:top="1120" w:right="340" w:bottom="1240" w:left="1160" w:header="0" w:footer="1051" w:gutter="0"/>
          <w:cols w:space="720"/>
        </w:sectPr>
      </w:pPr>
    </w:p>
    <w:p w:rsidR="004714F9" w:rsidRDefault="004714F9" w:rsidP="004714F9">
      <w:pPr>
        <w:pStyle w:val="a3"/>
        <w:ind w:left="78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16600" cy="2590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4F9" w:rsidRDefault="004714F9" w:rsidP="004714F9">
      <w:pPr>
        <w:pStyle w:val="a3"/>
        <w:spacing w:before="4"/>
        <w:rPr>
          <w:sz w:val="18"/>
        </w:rPr>
      </w:pPr>
    </w:p>
    <w:p w:rsidR="004714F9" w:rsidRDefault="004714F9" w:rsidP="004714F9">
      <w:pPr>
        <w:pStyle w:val="a3"/>
        <w:spacing w:before="89"/>
        <w:ind w:left="314"/>
        <w:jc w:val="center"/>
      </w:pPr>
      <w:r>
        <w:t>Рисунок 27. План паркинга манежного типа.</w:t>
      </w:r>
    </w:p>
    <w:p w:rsidR="004714F9" w:rsidRDefault="004714F9" w:rsidP="004714F9">
      <w:pPr>
        <w:pStyle w:val="a3"/>
        <w:rPr>
          <w:sz w:val="30"/>
        </w:rPr>
      </w:pPr>
    </w:p>
    <w:p w:rsidR="004714F9" w:rsidRDefault="004714F9" w:rsidP="004714F9">
      <w:pPr>
        <w:pStyle w:val="a3"/>
        <w:spacing w:before="1"/>
        <w:rPr>
          <w:sz w:val="26"/>
        </w:rPr>
      </w:pPr>
    </w:p>
    <w:p w:rsidR="004714F9" w:rsidRDefault="004714F9" w:rsidP="004714F9">
      <w:pPr>
        <w:pStyle w:val="a5"/>
        <w:numPr>
          <w:ilvl w:val="1"/>
          <w:numId w:val="2"/>
        </w:numPr>
        <w:tabs>
          <w:tab w:val="left" w:pos="1673"/>
        </w:tabs>
        <w:rPr>
          <w:sz w:val="28"/>
        </w:rPr>
      </w:pPr>
      <w:r>
        <w:rPr>
          <w:sz w:val="28"/>
        </w:rPr>
        <w:t>Способы расстановки</w:t>
      </w:r>
      <w:r>
        <w:rPr>
          <w:spacing w:val="-1"/>
          <w:sz w:val="28"/>
        </w:rPr>
        <w:t xml:space="preserve"> </w:t>
      </w:r>
      <w:r>
        <w:rPr>
          <w:sz w:val="28"/>
        </w:rPr>
        <w:t>автомобилей</w:t>
      </w:r>
    </w:p>
    <w:p w:rsidR="004714F9" w:rsidRDefault="004714F9" w:rsidP="004714F9">
      <w:pPr>
        <w:pStyle w:val="a3"/>
        <w:spacing w:before="10"/>
        <w:rPr>
          <w:sz w:val="27"/>
        </w:rPr>
      </w:pPr>
    </w:p>
    <w:p w:rsidR="004714F9" w:rsidRDefault="004714F9" w:rsidP="004714F9">
      <w:pPr>
        <w:pStyle w:val="a3"/>
        <w:spacing w:before="1"/>
        <w:ind w:left="542" w:right="222" w:firstLine="707"/>
        <w:jc w:val="both"/>
      </w:pPr>
      <w:r>
        <w:t>Основные типы расстановки автомобилей – прямоугольный и тупиковый (Рисунок 25.). Установка автомобиля при тупиковом способе на место производиться</w:t>
      </w:r>
      <w:r>
        <w:rPr>
          <w:spacing w:val="-7"/>
        </w:rPr>
        <w:t xml:space="preserve"> </w:t>
      </w:r>
      <w:r>
        <w:t>задним</w:t>
      </w:r>
      <w:r>
        <w:rPr>
          <w:spacing w:val="-8"/>
        </w:rPr>
        <w:t xml:space="preserve"> </w:t>
      </w:r>
      <w:r>
        <w:t>ходом,</w:t>
      </w:r>
      <w:r>
        <w:rPr>
          <w:spacing w:val="-8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выезд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передним</w:t>
      </w:r>
      <w:r>
        <w:rPr>
          <w:spacing w:val="-7"/>
        </w:rPr>
        <w:t xml:space="preserve"> </w:t>
      </w:r>
      <w:r>
        <w:t>ходом</w:t>
      </w:r>
      <w:r>
        <w:rPr>
          <w:spacing w:val="-8"/>
        </w:rPr>
        <w:t xml:space="preserve"> </w:t>
      </w:r>
      <w:r>
        <w:t>автомобиля</w:t>
      </w:r>
      <w:r>
        <w:rPr>
          <w:spacing w:val="-7"/>
        </w:rPr>
        <w:t xml:space="preserve"> </w:t>
      </w:r>
      <w:r>
        <w:t>или наоборот.</w:t>
      </w:r>
    </w:p>
    <w:p w:rsidR="004714F9" w:rsidRDefault="004714F9" w:rsidP="004714F9">
      <w:pPr>
        <w:pStyle w:val="a3"/>
        <w:ind w:left="542" w:right="222" w:firstLine="707"/>
        <w:jc w:val="both"/>
      </w:pPr>
      <w:r>
        <w:t>По схеме прямоточного разрешения автомобиля выезд с данного места производится передним ходом – это преимущество перед тупиковым, т.к. там нужно использовать применение заднего хода. Возможна расстановка автомобилей в однорядном, двухрядном и многорядном расстановке автомобилей. При расстановке в тупиковом варианте допускается расстановка не более двух автомобилей, при прямоточной не более восьми рядов с машинами. Независимый въезд обеспечивает однорядная система расстановки машин, но при этом ведет к увеличению площади проезда для автомобилей.</w:t>
      </w:r>
    </w:p>
    <w:p w:rsidR="004714F9" w:rsidRDefault="004714F9" w:rsidP="004714F9">
      <w:pPr>
        <w:pStyle w:val="a3"/>
        <w:ind w:left="542" w:right="228" w:firstLine="707"/>
        <w:jc w:val="both"/>
      </w:pPr>
      <w:r>
        <w:t>Установка автомобилей к оси наружного или внутреннего проезда возможна в виде косоугольного или прямоугольного размещения (Рисунок 26.) Ось</w:t>
      </w:r>
      <w:r>
        <w:rPr>
          <w:spacing w:val="-16"/>
        </w:rPr>
        <w:t xml:space="preserve"> </w:t>
      </w:r>
      <w:r>
        <w:t>проезда</w:t>
      </w:r>
      <w:r>
        <w:rPr>
          <w:spacing w:val="-18"/>
        </w:rPr>
        <w:t xml:space="preserve"> </w:t>
      </w:r>
      <w:r>
        <w:t>образует</w:t>
      </w:r>
      <w:r>
        <w:rPr>
          <w:spacing w:val="-15"/>
        </w:rPr>
        <w:t xml:space="preserve"> </w:t>
      </w:r>
      <w:r>
        <w:t>угол</w:t>
      </w:r>
      <w:r>
        <w:rPr>
          <w:spacing w:val="-1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900</w:t>
      </w:r>
      <w:r>
        <w:rPr>
          <w:spacing w:val="-17"/>
        </w:rPr>
        <w:t xml:space="preserve"> </w:t>
      </w:r>
      <w:r>
        <w:t>при</w:t>
      </w:r>
      <w:r>
        <w:rPr>
          <w:spacing w:val="-17"/>
        </w:rPr>
        <w:t xml:space="preserve"> </w:t>
      </w:r>
      <w:r>
        <w:t>прямоугольной</w:t>
      </w:r>
      <w:r>
        <w:rPr>
          <w:spacing w:val="-18"/>
        </w:rPr>
        <w:t xml:space="preserve"> </w:t>
      </w:r>
      <w:r>
        <w:t>расстановке</w:t>
      </w:r>
      <w:r>
        <w:rPr>
          <w:spacing w:val="-18"/>
        </w:rPr>
        <w:t xml:space="preserve"> </w:t>
      </w:r>
      <w:r>
        <w:t>продольной</w:t>
      </w:r>
      <w:r>
        <w:rPr>
          <w:spacing w:val="-18"/>
        </w:rPr>
        <w:t xml:space="preserve"> </w:t>
      </w:r>
      <w:r>
        <w:t>оси автомобиля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оси</w:t>
      </w:r>
      <w:r>
        <w:rPr>
          <w:spacing w:val="-7"/>
        </w:rPr>
        <w:t xml:space="preserve"> </w:t>
      </w:r>
      <w:r>
        <w:t>проезда,</w:t>
      </w:r>
      <w:r>
        <w:rPr>
          <w:spacing w:val="-9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косоугольной</w:t>
      </w:r>
      <w:r>
        <w:rPr>
          <w:spacing w:val="-11"/>
        </w:rPr>
        <w:t xml:space="preserve"> </w:t>
      </w:r>
      <w:r>
        <w:t>расстановке</w:t>
      </w:r>
      <w:r>
        <w:rPr>
          <w:spacing w:val="-10"/>
        </w:rPr>
        <w:t xml:space="preserve"> </w:t>
      </w:r>
      <w:r>
        <w:t>автомобилей</w:t>
      </w:r>
      <w:r>
        <w:rPr>
          <w:spacing w:val="-9"/>
        </w:rPr>
        <w:t xml:space="preserve"> </w:t>
      </w:r>
      <w:r>
        <w:t>обычно от 30 до 600.</w:t>
      </w:r>
    </w:p>
    <w:p w:rsidR="004714F9" w:rsidRDefault="004714F9" w:rsidP="004714F9">
      <w:pPr>
        <w:pStyle w:val="a3"/>
        <w:spacing w:before="1"/>
        <w:ind w:left="542" w:right="225" w:firstLine="707"/>
        <w:jc w:val="both"/>
      </w:pPr>
      <w:r>
        <w:t>Экономичной расстановкой автомобилей является перпендикулярная расстановка автомобилей т.е. прямоугольная.</w:t>
      </w:r>
    </w:p>
    <w:p w:rsidR="004714F9" w:rsidRDefault="004714F9" w:rsidP="004714F9">
      <w:pPr>
        <w:widowControl/>
        <w:autoSpaceDE/>
        <w:autoSpaceDN/>
        <w:sectPr w:rsidR="004714F9">
          <w:pgSz w:w="11910" w:h="16840"/>
          <w:pgMar w:top="1120" w:right="340" w:bottom="1240" w:left="1160" w:header="0" w:footer="1051" w:gutter="0"/>
          <w:cols w:space="720"/>
        </w:sectPr>
      </w:pPr>
    </w:p>
    <w:p w:rsidR="004714F9" w:rsidRDefault="004714F9" w:rsidP="004714F9">
      <w:pPr>
        <w:pStyle w:val="a3"/>
        <w:ind w:left="2118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152900" cy="3962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4F9" w:rsidRDefault="004714F9" w:rsidP="004714F9">
      <w:pPr>
        <w:pStyle w:val="a3"/>
        <w:spacing w:before="5"/>
        <w:rPr>
          <w:sz w:val="20"/>
        </w:rPr>
      </w:pPr>
    </w:p>
    <w:p w:rsidR="004714F9" w:rsidRDefault="004714F9" w:rsidP="004714F9">
      <w:pPr>
        <w:pStyle w:val="a3"/>
        <w:spacing w:before="89"/>
        <w:ind w:left="674"/>
      </w:pPr>
      <w:r>
        <w:t>Рисунок 28. Классификация способов расстановки автомобилей при хранении</w:t>
      </w:r>
    </w:p>
    <w:p w:rsidR="004714F9" w:rsidRDefault="004714F9" w:rsidP="004714F9">
      <w:pPr>
        <w:pStyle w:val="a3"/>
        <w:spacing w:before="11"/>
        <w:rPr>
          <w:sz w:val="27"/>
        </w:rPr>
      </w:pPr>
    </w:p>
    <w:p w:rsidR="004714F9" w:rsidRDefault="004714F9" w:rsidP="004714F9">
      <w:pPr>
        <w:pStyle w:val="a3"/>
        <w:ind w:left="542" w:right="224" w:firstLine="707"/>
        <w:jc w:val="both"/>
      </w:pPr>
      <w:r>
        <w:t>Прямоугольная расстановка требует большое пространство ширины проезда чем косоугольная. Несмотря на это, по расходу площади паркинга на одно место она экономичнее, т.к. при расстановке косоугольного типа удлиняется внутренний проезд и появляются «неиспользуемые» участки в виде треугольника между торцевых сторон горизонтальной проекции автомобиля и границей проезда. Прямо угольная расстановка позволяет машинам в паркинге въезжать на него с двух сторон проезда, тогда, когда при косоугольном размешенный – только с одной. От планировочного решения паркинга и его параметров зоны хранения автомобилей в значительной степени зависят и экономические показатели паркингов. При компоновке зоны хранения автомобилей принимают одну их следующих схем</w:t>
      </w:r>
      <w:r>
        <w:rPr>
          <w:spacing w:val="-11"/>
        </w:rPr>
        <w:t xml:space="preserve"> </w:t>
      </w:r>
      <w:r>
        <w:t>расстановки: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26"/>
        </w:tabs>
        <w:spacing w:before="1"/>
        <w:ind w:right="227" w:firstLine="707"/>
        <w:jc w:val="both"/>
        <w:rPr>
          <w:sz w:val="28"/>
        </w:rPr>
      </w:pPr>
      <w:proofErr w:type="gramStart"/>
      <w:r>
        <w:rPr>
          <w:sz w:val="28"/>
        </w:rPr>
        <w:t>однорядную</w:t>
      </w:r>
      <w:proofErr w:type="gramEnd"/>
      <w:r>
        <w:rPr>
          <w:sz w:val="28"/>
        </w:rPr>
        <w:t xml:space="preserve"> линейную с расстановкой автомобилей с обеих сторон (как исключение – с другой стороны) внутреннего проезда</w:t>
      </w:r>
      <w:r>
        <w:rPr>
          <w:spacing w:val="-11"/>
          <w:sz w:val="28"/>
        </w:rPr>
        <w:t xml:space="preserve"> </w:t>
      </w:r>
      <w:r>
        <w:rPr>
          <w:sz w:val="28"/>
        </w:rPr>
        <w:t>паркинга;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397"/>
        </w:tabs>
        <w:ind w:right="229" w:firstLine="707"/>
        <w:jc w:val="both"/>
        <w:rPr>
          <w:sz w:val="28"/>
        </w:rPr>
      </w:pPr>
      <w:proofErr w:type="gramStart"/>
      <w:r>
        <w:rPr>
          <w:sz w:val="28"/>
        </w:rPr>
        <w:t>многорядную</w:t>
      </w:r>
      <w:proofErr w:type="gramEnd"/>
      <w:r>
        <w:rPr>
          <w:sz w:val="28"/>
        </w:rPr>
        <w:t>,</w:t>
      </w:r>
      <w:r>
        <w:rPr>
          <w:spacing w:val="-21"/>
          <w:sz w:val="28"/>
        </w:rPr>
        <w:t xml:space="preserve"> </w:t>
      </w:r>
      <w:r>
        <w:rPr>
          <w:sz w:val="28"/>
        </w:rPr>
        <w:t>при</w:t>
      </w:r>
      <w:r>
        <w:rPr>
          <w:spacing w:val="-23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19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-20"/>
          <w:sz w:val="28"/>
        </w:rPr>
        <w:t xml:space="preserve"> </w:t>
      </w:r>
      <w:r>
        <w:rPr>
          <w:sz w:val="28"/>
        </w:rPr>
        <w:t>не</w:t>
      </w:r>
      <w:r>
        <w:rPr>
          <w:spacing w:val="-22"/>
          <w:sz w:val="28"/>
        </w:rPr>
        <w:t xml:space="preserve"> </w:t>
      </w:r>
      <w:r>
        <w:rPr>
          <w:sz w:val="28"/>
        </w:rPr>
        <w:t>одни,</w:t>
      </w:r>
      <w:r>
        <w:rPr>
          <w:spacing w:val="-21"/>
          <w:sz w:val="28"/>
        </w:rPr>
        <w:t xml:space="preserve"> </w:t>
      </w:r>
      <w:r>
        <w:rPr>
          <w:sz w:val="28"/>
        </w:rPr>
        <w:t>а</w:t>
      </w:r>
      <w:r>
        <w:rPr>
          <w:spacing w:val="-20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20"/>
          <w:sz w:val="28"/>
        </w:rPr>
        <w:t xml:space="preserve"> </w:t>
      </w:r>
      <w:r>
        <w:rPr>
          <w:sz w:val="28"/>
        </w:rPr>
        <w:t>внутренних проездов в</w:t>
      </w:r>
      <w:r>
        <w:rPr>
          <w:spacing w:val="-5"/>
          <w:sz w:val="28"/>
        </w:rPr>
        <w:t xml:space="preserve"> </w:t>
      </w:r>
      <w:r>
        <w:rPr>
          <w:sz w:val="28"/>
        </w:rPr>
        <w:t>паркинг;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95"/>
        </w:tabs>
        <w:ind w:right="222" w:firstLine="707"/>
        <w:jc w:val="both"/>
        <w:rPr>
          <w:sz w:val="28"/>
        </w:rPr>
      </w:pPr>
      <w:proofErr w:type="gramStart"/>
      <w:r>
        <w:rPr>
          <w:sz w:val="28"/>
        </w:rPr>
        <w:t>криволинейную</w:t>
      </w:r>
      <w:proofErr w:type="gramEnd"/>
      <w:r>
        <w:rPr>
          <w:sz w:val="28"/>
        </w:rPr>
        <w:t xml:space="preserve"> в плане (кольцевую) с расстановкой автомобилей в </w:t>
      </w:r>
      <w:proofErr w:type="spellStart"/>
      <w:r>
        <w:rPr>
          <w:sz w:val="28"/>
        </w:rPr>
        <w:t>пакинге</w:t>
      </w:r>
      <w:proofErr w:type="spellEnd"/>
      <w:r>
        <w:rPr>
          <w:sz w:val="28"/>
        </w:rPr>
        <w:t xml:space="preserve"> с обоих сторон ( как исключение – с одной стороны ) внутреннего проезда;</w:t>
      </w:r>
    </w:p>
    <w:p w:rsidR="004714F9" w:rsidRDefault="004714F9" w:rsidP="004714F9">
      <w:pPr>
        <w:pStyle w:val="a5"/>
        <w:numPr>
          <w:ilvl w:val="1"/>
          <w:numId w:val="4"/>
        </w:numPr>
        <w:tabs>
          <w:tab w:val="left" w:pos="1457"/>
        </w:tabs>
        <w:ind w:right="226" w:firstLine="707"/>
        <w:jc w:val="both"/>
        <w:rPr>
          <w:sz w:val="28"/>
        </w:rPr>
      </w:pPr>
      <w:proofErr w:type="spellStart"/>
      <w:proofErr w:type="gramStart"/>
      <w:r>
        <w:rPr>
          <w:sz w:val="28"/>
        </w:rPr>
        <w:t>комбенированную</w:t>
      </w:r>
      <w:proofErr w:type="spellEnd"/>
      <w:proofErr w:type="gramEnd"/>
      <w:r>
        <w:rPr>
          <w:sz w:val="28"/>
        </w:rPr>
        <w:t xml:space="preserve">, в </w:t>
      </w:r>
      <w:proofErr w:type="spellStart"/>
      <w:r>
        <w:rPr>
          <w:sz w:val="28"/>
        </w:rPr>
        <w:t>коротой</w:t>
      </w:r>
      <w:proofErr w:type="spellEnd"/>
      <w:r>
        <w:rPr>
          <w:sz w:val="28"/>
        </w:rPr>
        <w:t xml:space="preserve"> сочтены примеры использованные выше приемы расстановки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автомабилей</w:t>
      </w:r>
      <w:proofErr w:type="spellEnd"/>
      <w:r>
        <w:rPr>
          <w:sz w:val="28"/>
        </w:rPr>
        <w:t>.</w:t>
      </w:r>
    </w:p>
    <w:p w:rsidR="004714F9" w:rsidRDefault="004714F9" w:rsidP="004714F9">
      <w:pPr>
        <w:widowControl/>
        <w:autoSpaceDE/>
        <w:autoSpaceDN/>
        <w:rPr>
          <w:sz w:val="28"/>
        </w:rPr>
        <w:sectPr w:rsidR="004714F9">
          <w:pgSz w:w="11910" w:h="16840"/>
          <w:pgMar w:top="1360" w:right="340" w:bottom="1240" w:left="1160" w:header="0" w:footer="1051" w:gutter="0"/>
          <w:cols w:space="720"/>
        </w:sectPr>
      </w:pPr>
    </w:p>
    <w:p w:rsidR="004714F9" w:rsidRDefault="004714F9" w:rsidP="004714F9">
      <w:pPr>
        <w:pStyle w:val="a3"/>
        <w:spacing w:before="10"/>
        <w:rPr>
          <w:sz w:val="10"/>
        </w:rPr>
      </w:pPr>
    </w:p>
    <w:p w:rsidR="004714F9" w:rsidRDefault="004714F9" w:rsidP="004714F9">
      <w:pPr>
        <w:pStyle w:val="a3"/>
        <w:ind w:left="89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797550" cy="1758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4F9" w:rsidRDefault="004714F9" w:rsidP="004714F9">
      <w:pPr>
        <w:pStyle w:val="a3"/>
        <w:spacing w:before="9"/>
        <w:rPr>
          <w:sz w:val="25"/>
        </w:rPr>
      </w:pPr>
    </w:p>
    <w:p w:rsidR="004714F9" w:rsidRDefault="004714F9" w:rsidP="004714F9">
      <w:pPr>
        <w:pStyle w:val="a3"/>
        <w:spacing w:before="89"/>
        <w:ind w:left="3326" w:right="1133" w:hanging="1878"/>
      </w:pPr>
      <w:r>
        <w:t>Рисунок 29. Расстановка автомобилей относительно оси проезда: а-прямоугольная, б-косоугольная.</w:t>
      </w:r>
    </w:p>
    <w:p w:rsidR="004714F9" w:rsidRDefault="004714F9" w:rsidP="004714F9">
      <w:pPr>
        <w:pStyle w:val="a3"/>
        <w:rPr>
          <w:sz w:val="30"/>
        </w:rPr>
      </w:pPr>
    </w:p>
    <w:p w:rsidR="004714F9" w:rsidRDefault="004714F9" w:rsidP="004714F9">
      <w:pPr>
        <w:pStyle w:val="a3"/>
        <w:spacing w:before="2"/>
        <w:rPr>
          <w:sz w:val="26"/>
        </w:rPr>
      </w:pPr>
    </w:p>
    <w:p w:rsidR="004714F9" w:rsidRDefault="004714F9" w:rsidP="004714F9">
      <w:pPr>
        <w:pStyle w:val="a5"/>
        <w:numPr>
          <w:ilvl w:val="1"/>
          <w:numId w:val="2"/>
        </w:numPr>
        <w:tabs>
          <w:tab w:val="left" w:pos="1673"/>
        </w:tabs>
        <w:rPr>
          <w:sz w:val="28"/>
        </w:rPr>
      </w:pPr>
      <w:r>
        <w:rPr>
          <w:sz w:val="28"/>
        </w:rPr>
        <w:t>Проектирование машина-места и габаритов</w:t>
      </w:r>
      <w:r>
        <w:rPr>
          <w:spacing w:val="-5"/>
          <w:sz w:val="28"/>
        </w:rPr>
        <w:t xml:space="preserve"> </w:t>
      </w:r>
      <w:r>
        <w:rPr>
          <w:sz w:val="28"/>
        </w:rPr>
        <w:t>стоянки</w:t>
      </w:r>
    </w:p>
    <w:p w:rsidR="004714F9" w:rsidRDefault="004714F9" w:rsidP="004714F9">
      <w:pPr>
        <w:pStyle w:val="a3"/>
        <w:spacing w:before="10"/>
        <w:rPr>
          <w:sz w:val="27"/>
        </w:rPr>
      </w:pPr>
    </w:p>
    <w:p w:rsidR="004714F9" w:rsidRDefault="004714F9" w:rsidP="004714F9">
      <w:pPr>
        <w:pStyle w:val="a3"/>
        <w:spacing w:before="1"/>
        <w:ind w:left="542" w:right="217" w:firstLine="707"/>
        <w:jc w:val="both"/>
      </w:pPr>
      <w:r>
        <w:t>Общее габариты паковочного места (стоянки) определяются типом места для машины в паркинге. Место для машины – это участок покрытия стоянки, включающий горизонтально проекцию машины. В рамповом паркинге добавляются площадки для разъезда между автомобилями между конструктивными частями здания.</w:t>
      </w:r>
    </w:p>
    <w:p w:rsidR="004714F9" w:rsidRDefault="004714F9" w:rsidP="004714F9">
      <w:pPr>
        <w:pStyle w:val="a3"/>
        <w:ind w:left="542" w:right="223" w:firstLine="707"/>
        <w:jc w:val="both"/>
      </w:pPr>
      <w:r>
        <w:t>Различные объемно планировочные решения многоуровневый паркингов и габариты этих паркингов определяется расчетными типами автомобильных средств, условиями их маневрирования и движения. В качестве расчета принимают эталонный автомобиль с размерами 2300*5300 мм, с ратаниями между машин, продольной и торцевой стороной паркинга не менее 500 мм (в помещения для хранения принимают расстояния по данным таблицы 1.).</w:t>
      </w:r>
    </w:p>
    <w:p w:rsidR="004714F9" w:rsidRDefault="004714F9" w:rsidP="004714F9">
      <w:pPr>
        <w:pStyle w:val="a3"/>
        <w:spacing w:before="1" w:line="322" w:lineRule="exact"/>
        <w:ind w:left="1250"/>
        <w:jc w:val="both"/>
      </w:pPr>
      <w:r>
        <w:t>Эталонные автомобили отечественного производства такие машины как</w:t>
      </w:r>
    </w:p>
    <w:p w:rsidR="004714F9" w:rsidRDefault="004714F9" w:rsidP="004714F9">
      <w:pPr>
        <w:pStyle w:val="a3"/>
        <w:ind w:left="542" w:right="222"/>
        <w:jc w:val="both"/>
      </w:pPr>
      <w:r>
        <w:t>«Волга», «Лада», «Нива» и зарубежные малолитражки. Допускается увеличения размеров</w:t>
      </w:r>
      <w:r>
        <w:rPr>
          <w:spacing w:val="-8"/>
        </w:rPr>
        <w:t xml:space="preserve"> </w:t>
      </w:r>
      <w:r>
        <w:t>паркинга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стоянок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нем</w:t>
      </w:r>
      <w:r>
        <w:rPr>
          <w:spacing w:val="-4"/>
        </w:rPr>
        <w:t xml:space="preserve"> </w:t>
      </w:r>
      <w:r>
        <w:t>автомобилей</w:t>
      </w:r>
      <w:r>
        <w:rPr>
          <w:spacing w:val="-7"/>
        </w:rPr>
        <w:t xml:space="preserve"> </w:t>
      </w:r>
      <w:r>
        <w:t>различного</w:t>
      </w:r>
      <w:r>
        <w:rPr>
          <w:spacing w:val="-4"/>
        </w:rPr>
        <w:t xml:space="preserve"> </w:t>
      </w:r>
      <w:r>
        <w:t>типа</w:t>
      </w:r>
      <w:r>
        <w:rPr>
          <w:spacing w:val="-4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 и</w:t>
      </w:r>
      <w:r>
        <w:rPr>
          <w:spacing w:val="-1"/>
        </w:rPr>
        <w:t xml:space="preserve"> </w:t>
      </w:r>
      <w:r>
        <w:t>зарубежного).</w:t>
      </w:r>
    </w:p>
    <w:p w:rsidR="004714F9" w:rsidRDefault="004714F9" w:rsidP="004714F9">
      <w:pPr>
        <w:widowControl/>
        <w:autoSpaceDE/>
        <w:autoSpaceDN/>
        <w:sectPr w:rsidR="004714F9">
          <w:pgSz w:w="11910" w:h="16840"/>
          <w:pgMar w:top="1580" w:right="340" w:bottom="1240" w:left="1160" w:header="0" w:footer="1051" w:gutter="0"/>
          <w:cols w:space="720"/>
        </w:sectPr>
      </w:pPr>
    </w:p>
    <w:p w:rsidR="00C4740B" w:rsidRDefault="00C4740B">
      <w:bookmarkStart w:id="1" w:name="_GoBack"/>
      <w:bookmarkEnd w:id="1"/>
    </w:p>
    <w:sectPr w:rsidR="00C474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43996"/>
    <w:multiLevelType w:val="multilevel"/>
    <w:tmpl w:val="A394F044"/>
    <w:lvl w:ilvl="0">
      <w:start w:val="2"/>
      <w:numFmt w:val="decimal"/>
      <w:lvlText w:val="%1"/>
      <w:lvlJc w:val="left"/>
      <w:pPr>
        <w:ind w:left="1672" w:hanging="423"/>
      </w:pPr>
      <w:rPr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672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25" w:hanging="423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297" w:hanging="423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170" w:hanging="423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043" w:hanging="423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915" w:hanging="423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788" w:hanging="423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61" w:hanging="423"/>
      </w:pPr>
      <w:rPr>
        <w:lang w:val="ru-RU" w:eastAsia="en-US" w:bidi="ar-SA"/>
      </w:rPr>
    </w:lvl>
  </w:abstractNum>
  <w:abstractNum w:abstractNumId="1">
    <w:nsid w:val="31EE3B41"/>
    <w:multiLevelType w:val="hybridMultilevel"/>
    <w:tmpl w:val="D62CE362"/>
    <w:lvl w:ilvl="0" w:tplc="B8A4035C">
      <w:start w:val="1"/>
      <w:numFmt w:val="decimal"/>
      <w:lvlText w:val="%1."/>
      <w:lvlJc w:val="left"/>
      <w:pPr>
        <w:ind w:left="1535" w:hanging="2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56E304A">
      <w:numFmt w:val="bullet"/>
      <w:lvlText w:val="•"/>
      <w:lvlJc w:val="left"/>
      <w:pPr>
        <w:ind w:left="2426" w:hanging="286"/>
      </w:pPr>
      <w:rPr>
        <w:lang w:val="ru-RU" w:eastAsia="en-US" w:bidi="ar-SA"/>
      </w:rPr>
    </w:lvl>
    <w:lvl w:ilvl="2" w:tplc="FC1EACF2">
      <w:numFmt w:val="bullet"/>
      <w:lvlText w:val="•"/>
      <w:lvlJc w:val="left"/>
      <w:pPr>
        <w:ind w:left="3313" w:hanging="286"/>
      </w:pPr>
      <w:rPr>
        <w:lang w:val="ru-RU" w:eastAsia="en-US" w:bidi="ar-SA"/>
      </w:rPr>
    </w:lvl>
    <w:lvl w:ilvl="3" w:tplc="62ACCD92">
      <w:numFmt w:val="bullet"/>
      <w:lvlText w:val="•"/>
      <w:lvlJc w:val="left"/>
      <w:pPr>
        <w:ind w:left="4199" w:hanging="286"/>
      </w:pPr>
      <w:rPr>
        <w:lang w:val="ru-RU" w:eastAsia="en-US" w:bidi="ar-SA"/>
      </w:rPr>
    </w:lvl>
    <w:lvl w:ilvl="4" w:tplc="15187E8C">
      <w:numFmt w:val="bullet"/>
      <w:lvlText w:val="•"/>
      <w:lvlJc w:val="left"/>
      <w:pPr>
        <w:ind w:left="5086" w:hanging="286"/>
      </w:pPr>
      <w:rPr>
        <w:lang w:val="ru-RU" w:eastAsia="en-US" w:bidi="ar-SA"/>
      </w:rPr>
    </w:lvl>
    <w:lvl w:ilvl="5" w:tplc="20A26D70">
      <w:numFmt w:val="bullet"/>
      <w:lvlText w:val="•"/>
      <w:lvlJc w:val="left"/>
      <w:pPr>
        <w:ind w:left="5973" w:hanging="286"/>
      </w:pPr>
      <w:rPr>
        <w:lang w:val="ru-RU" w:eastAsia="en-US" w:bidi="ar-SA"/>
      </w:rPr>
    </w:lvl>
    <w:lvl w:ilvl="6" w:tplc="FED4C4C4">
      <w:numFmt w:val="bullet"/>
      <w:lvlText w:val="•"/>
      <w:lvlJc w:val="left"/>
      <w:pPr>
        <w:ind w:left="6859" w:hanging="286"/>
      </w:pPr>
      <w:rPr>
        <w:lang w:val="ru-RU" w:eastAsia="en-US" w:bidi="ar-SA"/>
      </w:rPr>
    </w:lvl>
    <w:lvl w:ilvl="7" w:tplc="292039FA">
      <w:numFmt w:val="bullet"/>
      <w:lvlText w:val="•"/>
      <w:lvlJc w:val="left"/>
      <w:pPr>
        <w:ind w:left="7746" w:hanging="286"/>
      </w:pPr>
      <w:rPr>
        <w:lang w:val="ru-RU" w:eastAsia="en-US" w:bidi="ar-SA"/>
      </w:rPr>
    </w:lvl>
    <w:lvl w:ilvl="8" w:tplc="A78AD950">
      <w:numFmt w:val="bullet"/>
      <w:lvlText w:val="•"/>
      <w:lvlJc w:val="left"/>
      <w:pPr>
        <w:ind w:left="8633" w:hanging="286"/>
      </w:pPr>
      <w:rPr>
        <w:lang w:val="ru-RU" w:eastAsia="en-US" w:bidi="ar-SA"/>
      </w:rPr>
    </w:lvl>
  </w:abstractNum>
  <w:abstractNum w:abstractNumId="2">
    <w:nsid w:val="54E76549"/>
    <w:multiLevelType w:val="multilevel"/>
    <w:tmpl w:val="E8CA42D6"/>
    <w:lvl w:ilvl="0">
      <w:start w:val="4"/>
      <w:numFmt w:val="decimal"/>
      <w:lvlText w:val="%1"/>
      <w:lvlJc w:val="left"/>
      <w:pPr>
        <w:ind w:left="1640" w:hanging="992"/>
      </w:pPr>
      <w:rPr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640" w:hanging="9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"/>
      <w:lvlJc w:val="left"/>
      <w:pPr>
        <w:ind w:left="1461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3.%4"/>
      <w:lvlJc w:val="left"/>
      <w:pPr>
        <w:ind w:left="1672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start w:val="1"/>
      <w:numFmt w:val="decimal"/>
      <w:lvlText w:val="%3.%4.%5"/>
      <w:lvlJc w:val="left"/>
      <w:pPr>
        <w:ind w:left="1881" w:hanging="63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301" w:hanging="632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4722" w:hanging="632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143" w:hanging="632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564" w:hanging="632"/>
      </w:pPr>
      <w:rPr>
        <w:lang w:val="ru-RU" w:eastAsia="en-US" w:bidi="ar-SA"/>
      </w:rPr>
    </w:lvl>
  </w:abstractNum>
  <w:abstractNum w:abstractNumId="3">
    <w:nsid w:val="57E658FA"/>
    <w:multiLevelType w:val="hybridMultilevel"/>
    <w:tmpl w:val="72246FAE"/>
    <w:lvl w:ilvl="0" w:tplc="D70C6262">
      <w:numFmt w:val="bullet"/>
      <w:lvlText w:val="–"/>
      <w:lvlJc w:val="left"/>
      <w:pPr>
        <w:ind w:left="542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542888">
      <w:numFmt w:val="bullet"/>
      <w:lvlText w:val="-"/>
      <w:lvlJc w:val="left"/>
      <w:pPr>
        <w:ind w:left="54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9AA5188">
      <w:numFmt w:val="bullet"/>
      <w:lvlText w:val="•"/>
      <w:lvlJc w:val="left"/>
      <w:pPr>
        <w:ind w:left="2513" w:hanging="164"/>
      </w:pPr>
      <w:rPr>
        <w:lang w:val="ru-RU" w:eastAsia="en-US" w:bidi="ar-SA"/>
      </w:rPr>
    </w:lvl>
    <w:lvl w:ilvl="3" w:tplc="642E9004">
      <w:numFmt w:val="bullet"/>
      <w:lvlText w:val="•"/>
      <w:lvlJc w:val="left"/>
      <w:pPr>
        <w:ind w:left="3499" w:hanging="164"/>
      </w:pPr>
      <w:rPr>
        <w:lang w:val="ru-RU" w:eastAsia="en-US" w:bidi="ar-SA"/>
      </w:rPr>
    </w:lvl>
    <w:lvl w:ilvl="4" w:tplc="5F04923C">
      <w:numFmt w:val="bullet"/>
      <w:lvlText w:val="•"/>
      <w:lvlJc w:val="left"/>
      <w:pPr>
        <w:ind w:left="4486" w:hanging="164"/>
      </w:pPr>
      <w:rPr>
        <w:lang w:val="ru-RU" w:eastAsia="en-US" w:bidi="ar-SA"/>
      </w:rPr>
    </w:lvl>
    <w:lvl w:ilvl="5" w:tplc="97AE67D8">
      <w:numFmt w:val="bullet"/>
      <w:lvlText w:val="•"/>
      <w:lvlJc w:val="left"/>
      <w:pPr>
        <w:ind w:left="5473" w:hanging="164"/>
      </w:pPr>
      <w:rPr>
        <w:lang w:val="ru-RU" w:eastAsia="en-US" w:bidi="ar-SA"/>
      </w:rPr>
    </w:lvl>
    <w:lvl w:ilvl="6" w:tplc="48DEF604">
      <w:numFmt w:val="bullet"/>
      <w:lvlText w:val="•"/>
      <w:lvlJc w:val="left"/>
      <w:pPr>
        <w:ind w:left="6459" w:hanging="164"/>
      </w:pPr>
      <w:rPr>
        <w:lang w:val="ru-RU" w:eastAsia="en-US" w:bidi="ar-SA"/>
      </w:rPr>
    </w:lvl>
    <w:lvl w:ilvl="7" w:tplc="89BC87C2">
      <w:numFmt w:val="bullet"/>
      <w:lvlText w:val="•"/>
      <w:lvlJc w:val="left"/>
      <w:pPr>
        <w:ind w:left="7446" w:hanging="164"/>
      </w:pPr>
      <w:rPr>
        <w:lang w:val="ru-RU" w:eastAsia="en-US" w:bidi="ar-SA"/>
      </w:rPr>
    </w:lvl>
    <w:lvl w:ilvl="8" w:tplc="9AAA1BA4">
      <w:numFmt w:val="bullet"/>
      <w:lvlText w:val="•"/>
      <w:lvlJc w:val="left"/>
      <w:pPr>
        <w:ind w:left="8433" w:hanging="164"/>
      </w:pPr>
      <w:rPr>
        <w:lang w:val="ru-RU" w:eastAsia="en-US" w:bidi="ar-SA"/>
      </w:rPr>
    </w:lvl>
  </w:abstractNum>
  <w:num w:numId="1">
    <w:abstractNumId w:val="2"/>
    <w:lvlOverride w:ilvl="0">
      <w:startOverride w:val="4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2">
    <w:abstractNumId w:val="0"/>
    <w:lvlOverride w:ilvl="0">
      <w:startOverride w:val="2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7D"/>
    <w:rsid w:val="004714F9"/>
    <w:rsid w:val="008A117D"/>
    <w:rsid w:val="00C47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261C8B-A840-410A-B90F-D640C14D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714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714F9"/>
    <w:pPr>
      <w:spacing w:before="74"/>
      <w:ind w:left="75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714F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semiHidden/>
    <w:unhideWhenUsed/>
    <w:qFormat/>
    <w:rsid w:val="004714F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4714F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714F9"/>
    <w:pPr>
      <w:ind w:left="542" w:hanging="1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77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1123</Words>
  <Characters>6407</Characters>
  <Application>Microsoft Office Word</Application>
  <DocSecurity>0</DocSecurity>
  <Lines>53</Lines>
  <Paragraphs>15</Paragraphs>
  <ScaleCrop>false</ScaleCrop>
  <Company/>
  <LinksUpToDate>false</LinksUpToDate>
  <CharactersWithSpaces>7515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3</cp:revision>
  <dcterms:created xsi:type="dcterms:W3CDTF">2021-03-24T08:15:00Z</dcterms:created>
  <dcterms:modified xsi:type="dcterms:W3CDTF">2021-03-24T08:17:00Z</dcterms:modified>
</cp:coreProperties>
</file>